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77777777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713A7B" w:rsidRPr="00713A7B">
        <w:rPr>
          <w:b w:val="0"/>
          <w:bCs/>
          <w:lang w:val="cy-GB"/>
        </w:rPr>
        <w:t>Addysg a Thrawsnewid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476A7EEB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C705C9A" w14:textId="77777777" w:rsidR="00D97660" w:rsidRDefault="00D97660" w:rsidP="001720D0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  <w:p w14:paraId="5D9D6DF0" w14:textId="77777777" w:rsidR="00D97660" w:rsidRPr="00A23C2F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A23C2F">
              <w:rPr>
                <w:rFonts w:ascii="Arial" w:hAnsi="Arial" w:cs="Arial"/>
                <w:szCs w:val="22"/>
                <w:lang w:val="cy-GB"/>
              </w:rPr>
              <w:t>Y gallu i gyfathrebu drwy gyfrwng y Gymraeg.</w:t>
            </w: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273FC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14D9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Kayleigh Evans</cp:lastModifiedBy>
  <cp:revision>5</cp:revision>
  <cp:lastPrinted>2013-11-20T16:34:00Z</cp:lastPrinted>
  <dcterms:created xsi:type="dcterms:W3CDTF">2023-05-15T07:06:00Z</dcterms:created>
  <dcterms:modified xsi:type="dcterms:W3CDTF">2026-01-26T16:32:00Z</dcterms:modified>
</cp:coreProperties>
</file>